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48DC7304" w:rsidR="007B7212" w:rsidRPr="00964563" w:rsidRDefault="003717AB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DANGEROUS DRUGS BOARD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</w:t>
      </w:r>
      <w:proofErr w:type="gramStart"/>
      <w:r w:rsidRPr="002E06B5">
        <w:t>located</w:t>
      </w:r>
      <w:proofErr w:type="gramEnd"/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</w:t>
      </w:r>
      <w:proofErr w:type="gramStart"/>
      <w:r w:rsidRPr="002E06B5">
        <w:rPr>
          <w:iCs/>
        </w:rPr>
        <w:t>station</w:t>
      </w:r>
      <w:proofErr w:type="gramEnd"/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3705DA44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and DSs issued including the cancelled ones listed in correct numerical </w:t>
      </w:r>
      <w:proofErr w:type="gramStart"/>
      <w:r w:rsidRPr="002E06B5">
        <w:t>sequence</w:t>
      </w:r>
      <w:proofErr w:type="gramEnd"/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 xml:space="preserve">– amount received/collected based on the </w:t>
      </w:r>
      <w:proofErr w:type="gramStart"/>
      <w:r w:rsidRPr="002E06B5">
        <w:t>ORs</w:t>
      </w:r>
      <w:proofErr w:type="gramEnd"/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 xml:space="preserve">amount deposited/remitted based on the </w:t>
      </w:r>
      <w:proofErr w:type="gramStart"/>
      <w:r w:rsidRPr="002E06B5">
        <w:rPr>
          <w:bCs/>
          <w:iCs/>
        </w:rPr>
        <w:t>DS</w:t>
      </w:r>
      <w:proofErr w:type="gramEnd"/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30F05916" w14:textId="77777777" w:rsidR="003717AB" w:rsidRPr="00DE77E8" w:rsidRDefault="003717AB" w:rsidP="003717A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Fines and Penalties</w:t>
      </w:r>
      <w:r w:rsidRPr="002E06B5">
        <w:rPr>
          <w:b/>
          <w:bCs/>
          <w:iCs/>
        </w:rPr>
        <w:t xml:space="preserve"> - </w:t>
      </w:r>
      <w:r>
        <w:rPr>
          <w:b/>
          <w:bCs/>
          <w:iCs/>
        </w:rPr>
        <w:t>Fines</w:t>
      </w:r>
      <w:r w:rsidRPr="002E06B5">
        <w:rPr>
          <w:b/>
          <w:bCs/>
          <w:iCs/>
        </w:rPr>
        <w:t xml:space="preserve"> – </w:t>
      </w:r>
      <w:r w:rsidRPr="002E06B5">
        <w:t xml:space="preserve">amount received for </w:t>
      </w:r>
      <w:r>
        <w:t>fines and penalties ordered by the court for committing a crime, except drugs cases</w:t>
      </w:r>
      <w:r w:rsidRPr="002E06B5">
        <w:t>.</w:t>
      </w:r>
    </w:p>
    <w:p w14:paraId="652AE42A" w14:textId="700C29F5" w:rsidR="008849A9" w:rsidRPr="002E06B5" w:rsidRDefault="0050384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Other Service Income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 w:rsidR="003717AB">
        <w:rPr>
          <w:b/>
          <w:bCs/>
          <w:iCs/>
        </w:rPr>
        <w:t>Proceeds from Sale of Exhibits on Drugs Cases</w:t>
      </w:r>
      <w:r w:rsidR="008849A9" w:rsidRPr="002E06B5">
        <w:rPr>
          <w:b/>
          <w:bCs/>
          <w:iCs/>
        </w:rPr>
        <w:t xml:space="preserve"> – </w:t>
      </w:r>
      <w:r w:rsidR="003717AB">
        <w:rPr>
          <w:iCs/>
        </w:rPr>
        <w:t xml:space="preserve">proceeds from sale of </w:t>
      </w:r>
      <w:r w:rsidR="008849A9" w:rsidRPr="002E06B5">
        <w:t>a</w:t>
      </w:r>
      <w:r>
        <w:t xml:space="preserve">ll </w:t>
      </w:r>
      <w:r w:rsidR="003717AB">
        <w:t xml:space="preserve">drugs cases </w:t>
      </w:r>
      <w:r>
        <w:t>exhibits</w:t>
      </w:r>
      <w:r w:rsidR="003717AB">
        <w:t>, except money,</w:t>
      </w:r>
      <w:r>
        <w:t xml:space="preserve"> ordered forfeited in favor of the government</w:t>
      </w:r>
      <w:r w:rsidR="008849A9" w:rsidRPr="002E06B5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 xml:space="preserve">with the </w:t>
      </w:r>
      <w:proofErr w:type="gramStart"/>
      <w:r w:rsidR="00935032" w:rsidRPr="002E06B5">
        <w:t>UACS</w:t>
      </w:r>
      <w:proofErr w:type="gramEnd"/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proofErr w:type="gramStart"/>
      <w:r w:rsidR="00935032" w:rsidRPr="002E06B5">
        <w:t>UACS</w:t>
      </w:r>
      <w:proofErr w:type="gramEnd"/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 xml:space="preserve">amount </w:t>
      </w:r>
      <w:proofErr w:type="gramStart"/>
      <w:r w:rsidRPr="002E06B5">
        <w:t>received</w:t>
      </w:r>
      <w:proofErr w:type="gramEnd"/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</w:t>
      </w:r>
      <w:proofErr w:type="gramStart"/>
      <w:r w:rsidRPr="002E06B5">
        <w:t>“Others”</w:t>
      </w:r>
      <w:proofErr w:type="gramEnd"/>
      <w:r w:rsidRPr="002E06B5">
        <w:t xml:space="preserve"> columns shall be used for refunds of overpayment of expenses and other collections which cannot be conveniently classified under the previously enumerated columns </w:t>
      </w:r>
    </w:p>
    <w:p w14:paraId="440BCF6C" w14:textId="6C760E76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222C35">
        <w:rPr>
          <w:bCs/>
        </w:rPr>
        <w:t>quarter</w:t>
      </w:r>
      <w:r w:rsidRPr="002E06B5">
        <w:rPr>
          <w:bCs/>
        </w:rPr>
        <w:t xml:space="preserve">. Each sheet shall be </w:t>
      </w:r>
      <w:proofErr w:type="gramStart"/>
      <w:r w:rsidR="00D623C7" w:rsidRPr="002E06B5">
        <w:rPr>
          <w:bCs/>
        </w:rPr>
        <w:t>totaled</w:t>
      </w:r>
      <w:proofErr w:type="gramEnd"/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6C24E68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222C35">
        <w:rPr>
          <w:bCs/>
        </w:rPr>
        <w:t>quarter</w:t>
      </w:r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319B1110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r w:rsidR="00AC79D2">
        <w:rPr>
          <w:bCs/>
        </w:rPr>
        <w:t>Dangerous Drugs Board</w:t>
      </w:r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1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1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8B8C" w14:textId="77777777" w:rsidR="00CB58A9" w:rsidRDefault="00CB58A9" w:rsidP="00BD366C">
      <w:r>
        <w:separator/>
      </w:r>
    </w:p>
  </w:endnote>
  <w:endnote w:type="continuationSeparator" w:id="0">
    <w:p w14:paraId="179F3FCE" w14:textId="77777777" w:rsidR="00CB58A9" w:rsidRDefault="00CB58A9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99F6" w14:textId="77777777" w:rsidR="00CB58A9" w:rsidRDefault="00CB58A9" w:rsidP="00BD366C">
      <w:r>
        <w:separator/>
      </w:r>
    </w:p>
  </w:footnote>
  <w:footnote w:type="continuationSeparator" w:id="0">
    <w:p w14:paraId="44E86C60" w14:textId="77777777" w:rsidR="00CB58A9" w:rsidRDefault="00CB58A9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376F7"/>
    <w:rsid w:val="00065CD6"/>
    <w:rsid w:val="000C71B6"/>
    <w:rsid w:val="000F2B2B"/>
    <w:rsid w:val="00117BF2"/>
    <w:rsid w:val="001611C1"/>
    <w:rsid w:val="001E3D02"/>
    <w:rsid w:val="00222C35"/>
    <w:rsid w:val="00240794"/>
    <w:rsid w:val="002611F5"/>
    <w:rsid w:val="0027424E"/>
    <w:rsid w:val="0028757F"/>
    <w:rsid w:val="002A31DB"/>
    <w:rsid w:val="002E06B5"/>
    <w:rsid w:val="002E4597"/>
    <w:rsid w:val="00306DAF"/>
    <w:rsid w:val="00323E7C"/>
    <w:rsid w:val="003717AB"/>
    <w:rsid w:val="00406DBD"/>
    <w:rsid w:val="00443929"/>
    <w:rsid w:val="0047141B"/>
    <w:rsid w:val="00503846"/>
    <w:rsid w:val="00506B1D"/>
    <w:rsid w:val="00522AA8"/>
    <w:rsid w:val="005B6BB6"/>
    <w:rsid w:val="006171B0"/>
    <w:rsid w:val="00627A8E"/>
    <w:rsid w:val="00667712"/>
    <w:rsid w:val="00671073"/>
    <w:rsid w:val="006801EC"/>
    <w:rsid w:val="006F19D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A5A19"/>
    <w:rsid w:val="009F0919"/>
    <w:rsid w:val="00AC79D2"/>
    <w:rsid w:val="00B123E0"/>
    <w:rsid w:val="00B93A85"/>
    <w:rsid w:val="00BD366C"/>
    <w:rsid w:val="00C31ED8"/>
    <w:rsid w:val="00C34553"/>
    <w:rsid w:val="00CB58A9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Ilagan</cp:lastModifiedBy>
  <cp:revision>2</cp:revision>
  <cp:lastPrinted>2021-01-05T06:19:00Z</cp:lastPrinted>
  <dcterms:created xsi:type="dcterms:W3CDTF">2021-01-21T11:21:00Z</dcterms:created>
  <dcterms:modified xsi:type="dcterms:W3CDTF">2021-01-21T11:21:00Z</dcterms:modified>
</cp:coreProperties>
</file>