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(CRR</w:t>
      </w:r>
      <w:r w:rsidR="00907108" w:rsidRPr="00964563">
        <w:rPr>
          <w:sz w:val="24"/>
          <w:szCs w:val="24"/>
        </w:rPr>
        <w:t>eg</w:t>
      </w:r>
      <w:r w:rsidRPr="00964563">
        <w:rPr>
          <w:sz w:val="24"/>
          <w:szCs w:val="24"/>
        </w:rPr>
        <w:t>)</w:t>
      </w:r>
    </w:p>
    <w:p w14:paraId="29FDC230" w14:textId="7C150C2C" w:rsidR="007B7212" w:rsidRPr="00964563" w:rsidRDefault="00DB0C83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MEDIATION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E327DA">
      <w:pPr>
        <w:spacing w:before="240" w:after="24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CRReg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1CCC2F4F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  <w:r w:rsidR="006119E6">
        <w:t>.</w:t>
      </w:r>
    </w:p>
    <w:p w14:paraId="241FCF33" w14:textId="603F9A07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  <w:r w:rsidR="006119E6">
        <w:t>.</w:t>
      </w:r>
    </w:p>
    <w:p w14:paraId="735CABBE" w14:textId="0304DE75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  <w:r w:rsidR="006119E6">
        <w:t>.</w:t>
      </w:r>
    </w:p>
    <w:p w14:paraId="1D225BB3" w14:textId="6CD6CECC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  <w:r w:rsidR="006119E6">
        <w:rPr>
          <w:iCs/>
        </w:rPr>
        <w:t>.</w:t>
      </w:r>
    </w:p>
    <w:p w14:paraId="45359E85" w14:textId="07C84CF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sala court or the office of the clerk of court, in case of multi-sala court</w:t>
      </w:r>
      <w:r w:rsidR="006119E6">
        <w:t>.</w:t>
      </w:r>
    </w:p>
    <w:p w14:paraId="5468E764" w14:textId="3F75946F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  <w:r w:rsidR="006119E6">
        <w:rPr>
          <w:iCs/>
        </w:rPr>
        <w:t>.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16ED17A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>serial number of the ORs and DSs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043C6CB5" w14:textId="10A93327" w:rsidR="00EF7731" w:rsidRPr="002E06B5" w:rsidRDefault="00DB0C8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Legal Fe</w:t>
      </w:r>
      <w:r w:rsidR="00736F16">
        <w:rPr>
          <w:b/>
          <w:bCs/>
          <w:iCs/>
        </w:rPr>
        <w:t>es</w:t>
      </w:r>
      <w:r w:rsidR="00856817" w:rsidRPr="002E06B5">
        <w:rPr>
          <w:b/>
          <w:bCs/>
          <w:iCs/>
        </w:rPr>
        <w:t xml:space="preserve"> </w:t>
      </w:r>
      <w:r w:rsidR="00503846">
        <w:rPr>
          <w:b/>
          <w:bCs/>
          <w:iCs/>
        </w:rPr>
        <w:t>–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Mediation</w:t>
      </w:r>
      <w:r w:rsidR="00736F16">
        <w:rPr>
          <w:b/>
          <w:bCs/>
          <w:iCs/>
        </w:rPr>
        <w:t xml:space="preserve"> Fee</w:t>
      </w:r>
      <w:r>
        <w:rPr>
          <w:b/>
          <w:bCs/>
          <w:iCs/>
        </w:rPr>
        <w:t>s</w:t>
      </w:r>
      <w:r w:rsidR="00EF7731" w:rsidRPr="002E06B5">
        <w:rPr>
          <w:b/>
          <w:bCs/>
          <w:iCs/>
        </w:rPr>
        <w:t xml:space="preserve"> </w:t>
      </w:r>
      <w:r w:rsidR="00EF7731" w:rsidRPr="002E06B5">
        <w:rPr>
          <w:iCs/>
        </w:rPr>
        <w:t xml:space="preserve">– </w:t>
      </w:r>
      <w:r w:rsidR="00736F16">
        <w:t xml:space="preserve">amount received for </w:t>
      </w:r>
      <w:r>
        <w:t>mediation of the case</w:t>
      </w:r>
      <w:r w:rsidR="00503846">
        <w:t>.</w:t>
      </w:r>
    </w:p>
    <w:p w14:paraId="17457DEC" w14:textId="11227F05" w:rsidR="00736F16" w:rsidRDefault="00DB0C83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Legal Fees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Appeal Fees</w:t>
      </w:r>
      <w:r w:rsidR="00736F16" w:rsidRPr="002E06B5">
        <w:rPr>
          <w:b/>
          <w:bCs/>
          <w:iCs/>
        </w:rPr>
        <w:t xml:space="preserve"> </w:t>
      </w:r>
      <w:r w:rsidR="00736F16" w:rsidRPr="002E06B5">
        <w:rPr>
          <w:iCs/>
        </w:rPr>
        <w:t xml:space="preserve">– </w:t>
      </w:r>
      <w:r w:rsidR="00736F16">
        <w:t xml:space="preserve">amount received for </w:t>
      </w:r>
      <w:r>
        <w:t>filing of notice of appeal by the party, except accused-appellant</w:t>
      </w:r>
      <w:r w:rsidR="00736F16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month.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month,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79E2D256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bookmarkStart w:id="1" w:name="_Hlk60738893"/>
      <w:r w:rsidRPr="002E06B5">
        <w:rPr>
          <w:bCs/>
        </w:rPr>
        <w:t>Accounting Division</w:t>
      </w:r>
      <w:r w:rsidR="00FD04A3" w:rsidRPr="002E06B5">
        <w:rPr>
          <w:bCs/>
        </w:rPr>
        <w:t>,</w:t>
      </w:r>
      <w:r w:rsidRPr="002E06B5">
        <w:rPr>
          <w:bCs/>
        </w:rPr>
        <w:t xml:space="preserve"> </w:t>
      </w:r>
      <w:r w:rsidR="00FD04A3" w:rsidRPr="002E06B5">
        <w:rPr>
          <w:bCs/>
        </w:rPr>
        <w:t>Financ</w:t>
      </w:r>
      <w:r w:rsidR="00684558">
        <w:rPr>
          <w:bCs/>
        </w:rPr>
        <w:t>e</w:t>
      </w:r>
      <w:r w:rsidR="00FD04A3" w:rsidRPr="002E06B5">
        <w:rPr>
          <w:bCs/>
        </w:rPr>
        <w:t xml:space="preserve"> </w:t>
      </w:r>
      <w:r w:rsidRPr="002E06B5">
        <w:rPr>
          <w:bCs/>
        </w:rPr>
        <w:t>Office</w:t>
      </w:r>
      <w:r w:rsidR="00FD04A3" w:rsidRPr="002E06B5">
        <w:rPr>
          <w:bCs/>
        </w:rPr>
        <w:t xml:space="preserve">, </w:t>
      </w:r>
      <w:bookmarkEnd w:id="1"/>
      <w:r w:rsidR="00684558">
        <w:rPr>
          <w:bCs/>
        </w:rPr>
        <w:t>Philippine Mediation Center</w:t>
      </w:r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2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2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AB86" w14:textId="77777777" w:rsidR="003840CD" w:rsidRDefault="003840CD" w:rsidP="00BD366C">
      <w:r>
        <w:separator/>
      </w:r>
    </w:p>
  </w:endnote>
  <w:endnote w:type="continuationSeparator" w:id="0">
    <w:p w14:paraId="14636B8B" w14:textId="77777777" w:rsidR="003840CD" w:rsidRDefault="003840CD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E6B7" w14:textId="77777777" w:rsidR="003840CD" w:rsidRDefault="003840CD" w:rsidP="00BD366C">
      <w:r>
        <w:separator/>
      </w:r>
    </w:p>
  </w:footnote>
  <w:footnote w:type="continuationSeparator" w:id="0">
    <w:p w14:paraId="3E37A315" w14:textId="77777777" w:rsidR="003840CD" w:rsidRDefault="003840CD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E2BD1"/>
    <w:rsid w:val="000F2B2B"/>
    <w:rsid w:val="00117BF2"/>
    <w:rsid w:val="001611C1"/>
    <w:rsid w:val="001E3D02"/>
    <w:rsid w:val="00240794"/>
    <w:rsid w:val="00246885"/>
    <w:rsid w:val="002611F5"/>
    <w:rsid w:val="0027424E"/>
    <w:rsid w:val="002A31DB"/>
    <w:rsid w:val="002E06B5"/>
    <w:rsid w:val="002E4597"/>
    <w:rsid w:val="00306DAF"/>
    <w:rsid w:val="00323E7C"/>
    <w:rsid w:val="003840CD"/>
    <w:rsid w:val="00406DBD"/>
    <w:rsid w:val="00443929"/>
    <w:rsid w:val="0047141B"/>
    <w:rsid w:val="004F2FBA"/>
    <w:rsid w:val="00503846"/>
    <w:rsid w:val="00506B1D"/>
    <w:rsid w:val="00522AA8"/>
    <w:rsid w:val="005B6BB6"/>
    <w:rsid w:val="006119E6"/>
    <w:rsid w:val="006171B0"/>
    <w:rsid w:val="00627A8E"/>
    <w:rsid w:val="00667712"/>
    <w:rsid w:val="00671073"/>
    <w:rsid w:val="006801EC"/>
    <w:rsid w:val="00684558"/>
    <w:rsid w:val="006F19D6"/>
    <w:rsid w:val="00736F1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A5A19"/>
    <w:rsid w:val="009F0919"/>
    <w:rsid w:val="00B123E0"/>
    <w:rsid w:val="00B93A85"/>
    <w:rsid w:val="00BD366C"/>
    <w:rsid w:val="00C31ED8"/>
    <w:rsid w:val="00C34553"/>
    <w:rsid w:val="00CD0A34"/>
    <w:rsid w:val="00D167B5"/>
    <w:rsid w:val="00D26BBD"/>
    <w:rsid w:val="00D37E72"/>
    <w:rsid w:val="00D55747"/>
    <w:rsid w:val="00D623C7"/>
    <w:rsid w:val="00D749BD"/>
    <w:rsid w:val="00DB0C83"/>
    <w:rsid w:val="00DE77E8"/>
    <w:rsid w:val="00E30E02"/>
    <w:rsid w:val="00E327DA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Ilagan</cp:lastModifiedBy>
  <cp:revision>15</cp:revision>
  <cp:lastPrinted>2021-01-05T06:11:00Z</cp:lastPrinted>
  <dcterms:created xsi:type="dcterms:W3CDTF">2021-01-04T03:26:00Z</dcterms:created>
  <dcterms:modified xsi:type="dcterms:W3CDTF">2021-01-05T06:24:00Z</dcterms:modified>
</cp:coreProperties>
</file>